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 w:right="0" w:firstLine="0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Приложение 1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10490" w:right="0" w:firstLine="0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 Политике в отношении обработки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680"/>
        <w:tblW w:w="15487" w:type="dxa"/>
        <w:jc w:val="center"/>
        <w:tblLayout w:type="fixed"/>
        <w:tblLook w:val="0000" w:firstRow="0" w:lastRow="0" w:firstColumn="0" w:lastColumn="0" w:noHBand="0" w:noVBand="0"/>
      </w:tblPr>
      <w:tblGrid>
        <w:gridCol w:w="2365"/>
        <w:gridCol w:w="2326"/>
        <w:gridCol w:w="3020"/>
        <w:gridCol w:w="4111"/>
        <w:gridCol w:w="3665"/>
        <w:tblGridChange w:id="0">
          <w:tblGrid>
            <w:gridCol w:w="2365"/>
            <w:gridCol w:w="2326"/>
            <w:gridCol w:w="3020"/>
            <w:gridCol w:w="4111"/>
            <w:gridCol w:w="3665"/>
          </w:tblGrid>
        </w:tblGridChange>
      </w:tblGrid>
      <w:tr>
        <w:tblPrEx/>
        <w:trPr>
          <w:cantSplit w:val="false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141"/>
              <w:jc w:val="center"/>
              <w:keepLines w:val="0"/>
              <w:keepNext w:val="0"/>
              <w:pageBreakBefore w:val="0"/>
              <w:spacing w:before="0" w:after="160" w:line="252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Цели обработки </w:t>
              <w:br/>
              <w:t xml:space="preserve">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52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Категории субъектов персональных данных, чьи данные подвергаются обработке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52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Перечень обрабатываемых персональных данных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</w:rPr>
              <w:footnoteReference w:id="2"/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52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Правовые основания обработки 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52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Срок хранения </w:t>
              <w:br/>
              <w:t xml:space="preserve">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ПОДБОР ПЕРСОНАЛА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52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Поиск и оценка соискателей на трудоустройство, осуществление коммуникации с ними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Соискатели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на трудоустройство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Персональные данные в соответствии с содержанием резюме (анкет, автобиографий, листков по учету кадров, заявлений, рекомендательных писем и т.п.)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В отношении распространенных ранее персональных данных (например, на информационном портале государственной службы занятости, сервисе rabota.by) – абз. 19 ст. 6 Закона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При предоставлении резюме в письменном виде или в виде электронного документа, подписанного соискателем на трудоустройство – абз. 16 ст. 6 Закона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При направлении резюме на электронную почту – согласие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При направлении резюме посредством интернет-сайта – согласие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В случае отказа в трудоустройстве – не более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 года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В случае принятия на работу – 1 месяц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При даче согласия –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Формирование и ведение резерва кадров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Соискатели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на трудоустройство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сведения об образовании, о трудовой деятельности, номер телефона, e-mail, иные данные, предусмотренные законодательством или указанные в резюме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Если формирование и ведение резерва кадров предусмотрено законодательством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(Указ Президента Республики Беларусь от 26.07.2004 № 354) – абз. 20 ст. 6, абз. 17 п. 2 ст. 8 Закона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В иных случаях – согласие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720" w:right="0" w:hanging="36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6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При даче согласия –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ОСУЩЕСТВЛЕНИЕ ХОЗЯЙСТВЕННОЙ ДЕЯТЕЛЬНОСТИ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(ЗАКЛЮЧЕНИЕ И ИСПОЛНЕНИЕ ГРАЖДАНСКО-ПРАВОВЫХ ДОГОВОРОВ И ДР.)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4"/>
                <w:szCs w:val="3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Создание, регистрация и использование личного кабинета на сайте и (или) в мобильном приложении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 и 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Для ФЛ (в том числе ИП): ФИО; e-mail; номер телефона, логин и пароль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Для представителя ЮЛ: рабочий e-mail, рабочий номер телефона, логин и пароль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В отношении ФЛ и ИП – договор (пользовательское соглашение)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(абз. 15 ст. 6 Закона)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При отсутствии договора (пользовательского соглашения) –  согласие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В отношении представителя ЮЛ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8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труде, гражданское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законодательство)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В случаях, предусмотренных законодательством – 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(например, при создании личных электронных кабинетов в рамках общегосударственной автоматизированной информационной системы)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Если правовым основанием выступает договор или абз. 20 ст. 6 Закона – срок указывается  в соответствии со сроками, определенными законодательством </w:t>
              <w:br/>
              <w:t xml:space="preserve">об архивном деле </w:t>
              <w:br/>
              <w:t xml:space="preserve">и делопроизводстве.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Если правовым основанием выступает согласие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  (например, не более 3 лет с даты последней авторизации в личном кабинете либо до отзыва согласия)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Заключение гражданско-правовых договоров в простой письменной форме, посредством создания (оформления) заказа на сайте, исполнение и прекращение таких договоров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 и 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Для ФЛ (в том числе ИП): ФИО, адрес регистрации, e-mail; номер телефона, сведения, связанные с оплатой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Для представителя ЮЛ: ФИО, должность, рабочий номер телефона; рабочий       e-mail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Для ФЛ и ИП – договор (абз. 15 ст. 6 Закона)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Для представителя ЮЛ – абз. 8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труде, гражданское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законодательство)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 года после проведения проверки налоговыми органами, а если проверка не проводилась – 10 лет после прекращения договора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Заключение, исполнение и прекращение гражданско-правовых договоров, связанных с материально-техническим обеспечением деятельности организации (поставки, купли-продажи, подряда, возмездного оказания услуг и т.п.)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Контрагенты – ФЛ и 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Уполномоченные представители контрагентов –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Для ФЛ (в том числе ИП): ФИО, адрес регистрации, серия и номер паспорта, e-mail, номер телефона, сведения, связанные с оплатой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Для представителя ЮЛ: ФИО, должность,  рабочий  e-mail, рабочий номер телефона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Для ФЛ и ИП – договор (абз. 15 ст. 6 Закона)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Для представителя ЮЛ – абз. 8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труде, гражданское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законодательство)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 года после проведения проверки налоговыми органами, а если проверка не проводилась – 10 лет после прекращения договора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Участие в процедурах государственных закупок, закупок за счет собственных средств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ФЛ – руководители организаций, иные ФЛ, сведения о которых содержатся в конкурсных предложениях, ФЛ, участвующие в процедуре закупки, работе комиссии, а также уполномоченные на подписание договора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ФИО; должность руководителя и (или) иных представителей ЮЛ; иные данные согласно условиям закупки (при необходимости)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государственных закупках, законодательство о закупках за счет собственных средств)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 лет со дня заключения договора, признания процедуры закупки несостоявшейся или ее отмены, а если проверка налоговыми органами не проводилась – 10 лет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МАРКЕТИНГ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(МЕРОПРИЯТИЯ, РАССЫЛКИ, ИНАЯ ДЕЯТЕЛЬНОСТЬ ПО ПРОДВИЖЕНИЮ ТОВАРОВ, РАБОТ И УСЛУГ)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Регистрация и участие в программе лояльности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Участники программы лояльности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Имя, e-mail; номер телефона, идентификатор участника программы лояльности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Согласие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(например, срок действия согласия ограничивается 3 годами с даты последней активности, а в случае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неиспользования бонусной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карты – 3 годами с даты предоставления согласия)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Направление рекламной рассылки о товарах, работах, услугах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 и 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Номер телефона (SMS/Viber) или e-mail или идентификатор устройства (для push-уведомлений), фамилия и имя (необязательно)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(см. Разъяснения по рекламной рассылке)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Согласие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6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Проведение рекламных игр и иных рекламных мероприятий, в том числе в социальных сетях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Участники рекламной игры, рекламного мероприятия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Имя, номер телефона, адрес электронной почты, данные профиля в социальной сети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108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 Абз. 20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рекламе (для проведения рекламных игр в случаях, предусмотренных законодательством))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108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 Согласие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(для проведения рекламных игр в случаях, когда соответствующая обработка не предусмотрена законодательством о рекламе, при проведении рекламных мероприятий)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3 года с даты окончания рекламной игры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197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Размещение информации о деятельности организации на интернет-сайте, в социальных сетях и мессенджерах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Участники мероприятий, проводимых организацией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изображение (в т.ч. видеоизображение), иные размещаемые сведения (интервью, выступление и др.)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Если субъект персональных данных является основным объектом съемки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numPr>
                <w:ilvl w:val="0"/>
                <w:numId w:val="1"/>
              </w:numPr>
              <w:ind w:left="0" w:right="0" w:firstLine="187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8 ст. 6 Закона (законодательство о труде) – если участие в публичных мероприятиях и выступлениях охватывается трудовой функцией работника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numPr>
                <w:ilvl w:val="0"/>
                <w:numId w:val="1"/>
              </w:numPr>
              <w:ind w:left="0" w:right="0" w:firstLine="187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19 ст. 6 Закона – при обработке общедоступных персональных данных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Согласие – в иных случаях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Если обрабатываются общедоступные персональные данные – до момента 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аявления субъектом персональных данных требований о прекращении обработки распространенных персональных данных, а также об их удалении при отсутствии иных оснований для обработки персональных данных, предусмотренных Законом и иными законодательными актами.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Если обработка осуществляется на основании согласия – указывается срок действия согласия2 либо ”до отзыва согласия“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37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При съемке общего плана, в том числе в рамках новостного контента, в местах, открытых для массового посещения, на массовых мероприятиях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Абз. 20 ст. 6 Закона  (законодательство, определяющее порядок функционирования сайтов организаций)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Абз. 19 ст. 6 Закона (обработка общедоступных персональных данных)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Договор (абз. 15 статьи 6 Закона)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(например, при съемке имиджевого ролика)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Пере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дача архивной копии сайта осуществляется в порядке, определенном Правилами работы с документами в электронном виде в архивах государственных органов, иных организаций, утвержденными постановлением Министерства юстиции Республики Беларусь от 06.02.2019 № 20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До момента заявления субъектом персональных данных требований о прекращении обработки распространенных персональных данных, а также об их удалении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КОММУНИКАЦИЯ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0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Переписка по вопросам, связанным с деятельностью организации, посредством форм обратной связи, онлайн чата на сайте либо социальных сетей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 и 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Имя, e-mail, иные персональные данные, указанные в переписке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В случае заключения и исполнения договора с ФЛ или ИП –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15 ст. 6 Закона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В случае заключения и исполнения договора с ЮЛ – абз. 8 ст. 6 Закона (законодательство о труде, гражданское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законодательство)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В случае переписки по вопросам, не связанным с заключением и исполнением договора, или при обработке специальных персональных данных – согласие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При заключении договора – 3 года после завершения переписки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Если обработка осуществляется на основании согласия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Рассмотрение обращений граждан, в том числе замечаний и предложений, внесенных в книгу замечаний и предложений.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Лица, направившие обращение</w:t>
              <w:br/>
              <w:t xml:space="preserve">2. Иные лица, чьи персональные данные указаны в обращении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адрес места жительства (места пребывания), содержание обращения, иные персональные данные, указанные в обращении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об обращениях граждан и юридических лиц)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 лет с даты последнего обращения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 лет после окончания ведения книги замечаний и предложений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Рассмотрение заявлений субъектов персональных данных в соответствии с законодательством о 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Лица, направившие обращение</w:t>
              <w:br/>
              <w:t xml:space="preserve">2. Иные лица, чьи персональные данные указаны в обращении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Данные, указанные в ст. 14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персональных данных)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 год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Запись на личный прием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Лица, обращающиеся на личный прием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номер телефона, содержание вопроса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об обращениях граждан и юридических лиц)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 лет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148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Рассмотрение заявлений потребителей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адрес места жительства (места пребывания), содержание обращения, иные персональные данные, указанные в обращении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защите прав потребителей)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5 лет с даты последнего обращения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55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Рассмотрение обращений клиентов, поступивших в колл-центр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 – ФЛ и ИП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Номер телефона, иные персональные данные, указанные в обращении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36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В отношении ФЛ и ИП – договор (абз. 15 ст. 6 Закона)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14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В отношении представителей ЮЛ – абз. 8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14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труде)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Срок определяется оператором (уполномоченным лицом) в соответствии </w:t>
              <w:br/>
              <w:t xml:space="preserve">со сроками, установленными законодательством </w:t>
              <w:br/>
              <w:t xml:space="preserve">об архивном деле </w:t>
              <w:br/>
              <w:t xml:space="preserve">и делопроизводстве.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Если срок законодательством не установлен, срок определяется с учетом требований п. 8 ст. 4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6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16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Аудиозапись разговора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Согласие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Абз. 17 п. 2 ст. 8 Закона, если необходимость осуществления аудиозаписи разговора предусмотрена законодательными актами, например, при обращении в скорую помощь и др.)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50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ВЫПОЛНЕНИЕ ЮРИДИЧЕСКИ ЗНАЧИМЫХ ОБЯЗАННОСТЕЙ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Ведение бухгалтерского и налогового учета (исполнение налоговых и иных обязательств)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 Работники, бывшие работники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Клиенты – ФЛ и ИП, уполномоченные лица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Подрядчики ФЛ и ИП, 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4. Партнеры ФЛ и ИП, уполномоченные представители ЮЛ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иные данные, требуемые для заполнения первичных учетных документов, необходимых для совершения хозяйственных операций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 бухгалтерском учете и отчетности)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Срок  определяется оператором (уполномоченным лицом) в  соответствии </w:t>
              <w:br/>
              <w:t xml:space="preserve">со сроками, определенными законодательством </w:t>
              <w:br/>
              <w:t xml:space="preserve">об архивном деле </w:t>
              <w:br/>
              <w:t xml:space="preserve">и делопроизводстве для соответствующей обработки 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Учет и хранение документов в соответствии с законодательством в сфере архивного дела и делопроизводства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Лица, сведения о которых содержатся в документах, регистрируемых в системе учета документооборота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должность служащего (профессия рабочего), иные сведения, содержащиеся в регистрируемом документе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об архивном деле и делопроизводстве)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Заполнение и передача в государственные органы и иные уполномоченные организации требуемых форм отчетности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 зависимости от формы отчетности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 соответствии с формой предоставляемой отчетности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ffffff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Предоставление информации в рамках исполнения запросов государственных органов, иных организаций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Лица, в отношении которых запрашивается информация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 соответствии с поступившим запросом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 Согласие – если к запросу приложено согласие субъекта персональных данных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 Абз. 20 ст. 6 Закона, если обработка осуществляется для выполнения обязанностей (полномочий), предусмотренных законодательными актами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Подача исковых заявлений, участие в судебных разбирательствах, исполнительное производство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Клиенты, контрагенты организации (представители сторон по договору, уполномоченные на подписание договора и (или) совершение действий в рамках его исполнения, ФЛ, являющиеся стороной по гражданско-правовому договору)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Для ФЛ (в том числе ИП): ФИО, номер телефона, e-mail (необязательно), адрес места жительства (места регистрации)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Для представителей ЮЛ: ФИО, должность, данные из документа, удостоверяющего полномочия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(гражданское, гражданско-процессуальное, хозяйственно-процессуальное законодательство, законодательство об исполнительном производстве)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ОБЕСПЕЧЕНИЕ БЕЗОПАСНОСТИ ФИЗИЧЕСКИХ ЛИЦ И ИМУЩЕСТВА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Осуществление пропускного режима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Посетители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время посещения, данные лица, к которому направляется посетитель (при необходимости)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об охранной деятельности)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Срок определяется оператором (уполномоченным лицом) с учетом требований  п. 8 ст. 4 Закона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ОФОРМЛЕНИЕ И ПРОВЕДЕНИЕ ПРАКТИКИ ДЛЯ  ОБУЧАЮЩИХСЯ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831" w:leader="none"/>
                <w:tab w:val="left" w:pos="226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Организация практики для обучающихся, в том числе создание учетных записей для входа в информационные системы нанимателя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1. Лица, проходящие практику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2. Руководители практики от учреждения образования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3. Лица, уполномоченные на подписание договора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ФИО, а также иные персональные данные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 соответствии с содержанием договора об организации практики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Абз. 20 ст. 6 Закона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(законодательство об образовании)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В отношении указанных в договоре сведений  –  3 года после проведения проверки налоговыми органами, а если проверка не проводилась – 10 лет после прекращения договора.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Созданные учетные записи – до окончания практики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Обеспечение доступа в здание организации в рамках системы контроля и управления доступом (СКУД) с использованием биометрических персональных данных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Лица, проходящие практику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Изображение лица, проходящего практику, отпечатки его пальцев рук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Согласие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</w:rPr>
              <w:footnoteReference w:id="4"/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Указание личного мобильного номера в информационном ресурсе, корпоративной сети нанимателя для коммуникации по вопросам практики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Лица, проходящие практику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Мобильный номер телефона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Согласие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2268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Указывается срок действия согласия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либо ”до отзыва согласия“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gm06a9qfog1"/>
      <w:r/>
      <w:bookmarkEnd w:id="0"/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1134" w:bottom="709" w:left="1134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Georgia">
    <w:panose1 w:val="02040502050405020303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В данной графе применительно к конкретному бизнес-процессу перечень обрабатываемых персональных данных приведен в качестве примера. Его не следует рассматривать как единственно верный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или как позицию Национального центра защиты персональных данных по тому, какие данные нужны для того или иного бизнес-процесса. оператору (уполномоченному лицу) следует заполнять эту и иные графы исходя из правовых норм и особенностей своей деятельности.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3">
    <w:p>
      <w:pPr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По общему правилу, срок действия согласия составляет не более 3 лет.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4"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Согласие на обработку персональных данных для данной цели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будет иметь свободный характер только при условии наличия альтернативного варианта доступа. Исключение составляют особо опасные, режимные объекты, объекты военного и специального назначения, в банковской сфере в целях защиты помещений, в которых хранятся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енежные средства и иные ценности либо установлены серверы, и т.п. В иных случаях указание такого способа доступа в качестве единственного не отвечает требованию соразмерности (пункт 2 статьи 4 Закона) и влечет риски для прав субъектов персональных данных.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160" w:line="252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67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7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7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7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67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1"/>
    <w:next w:val="67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1"/>
    <w:next w:val="67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1"/>
    <w:next w:val="67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1"/>
    <w:uiPriority w:val="34"/>
    <w:qFormat/>
    <w:pPr>
      <w:contextualSpacing/>
      <w:ind w:left="720"/>
    </w:p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78"/>
    <w:uiPriority w:val="10"/>
    <w:rPr>
      <w:sz w:val="48"/>
      <w:szCs w:val="48"/>
    </w:rPr>
  </w:style>
  <w:style w:type="character" w:styleId="38">
    <w:name w:val="Subtitle Char"/>
    <w:basedOn w:val="12"/>
    <w:link w:val="679"/>
    <w:uiPriority w:val="11"/>
    <w:rPr>
      <w:sz w:val="24"/>
      <w:szCs w:val="24"/>
    </w:rPr>
  </w:style>
  <w:style w:type="paragraph" w:styleId="39">
    <w:name w:val="Quote"/>
    <w:basedOn w:val="671"/>
    <w:next w:val="67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1"/>
    <w:next w:val="67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7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71"/>
    <w:next w:val="67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7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1"/>
    <w:next w:val="671"/>
    <w:uiPriority w:val="99"/>
    <w:unhideWhenUsed/>
    <w:pPr>
      <w:spacing w:after="0" w:afterAutospacing="0"/>
    </w:pPr>
  </w:style>
  <w:style w:type="table" w:styleId="670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71" w:default="1">
    <w:name w:val="Normal"/>
  </w:style>
  <w:style w:type="paragraph" w:styleId="672">
    <w:name w:val="Heading 1"/>
    <w:basedOn w:val="671"/>
    <w:next w:val="671"/>
    <w:pPr>
      <w:keepLines/>
      <w:keepNext/>
      <w:pageBreakBefore w:val="0"/>
      <w:spacing w:before="480" w:after="120"/>
    </w:pPr>
    <w:rPr>
      <w:b/>
      <w:bCs/>
      <w:sz w:val="48"/>
      <w:szCs w:val="48"/>
    </w:rPr>
  </w:style>
  <w:style w:type="paragraph" w:styleId="673">
    <w:name w:val="Heading 2"/>
    <w:basedOn w:val="671"/>
    <w:next w:val="671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674">
    <w:name w:val="Heading 3"/>
    <w:basedOn w:val="671"/>
    <w:next w:val="671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675">
    <w:name w:val="Heading 4"/>
    <w:basedOn w:val="671"/>
    <w:next w:val="671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676">
    <w:name w:val="Heading 5"/>
    <w:basedOn w:val="671"/>
    <w:next w:val="671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677">
    <w:name w:val="Heading 6"/>
    <w:basedOn w:val="671"/>
    <w:next w:val="671"/>
    <w:pPr>
      <w:keepLines/>
      <w:keepNext/>
      <w:pageBreakBefore w:val="0"/>
      <w:spacing w:before="200" w:after="40"/>
    </w:pPr>
    <w:rPr>
      <w:b/>
      <w:bCs/>
      <w:sz w:val="20"/>
      <w:szCs w:val="20"/>
    </w:rPr>
  </w:style>
  <w:style w:type="paragraph" w:styleId="678">
    <w:name w:val="Title"/>
    <w:basedOn w:val="671"/>
    <w:next w:val="671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paragraph" w:styleId="679">
    <w:name w:val="Subtitle"/>
    <w:basedOn w:val="671"/>
    <w:next w:val="671"/>
    <w:pPr>
      <w:keepLines/>
      <w:keepNext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680">
    <w:name w:val="StGen0"/>
    <w:basedOn w:val="670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3037" w:default="1">
    <w:name w:val="Default Paragraph Font"/>
    <w:uiPriority w:val="1"/>
    <w:semiHidden/>
    <w:unhideWhenUsed/>
  </w:style>
  <w:style w:type="numbering" w:styleId="30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