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ПОЛИТИКА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e60q9x3nmgff"/>
      <w:r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 отношении обработки файлов cookie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(по состоянию на ___________)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(примерная форма)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1. Общие положения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3828" w:leader="none"/>
          <w:tab w:val="left" w:pos="6521" w:leader="none"/>
        </w:tabs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phtmqi9y4mjh"/>
      <w:r/>
      <w:bookmarkEnd w:id="1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1.1.  Издание Политики в отношении обработки файлов cookie (далее – Политика) является одной из обязательных принимаемых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(наименование оператора)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мер по обеспечению защиты персональных данных, предусмотренных статьей 17 Закона Республики Беларусь от 7 мая 2021 г. № 99-З ”О защите персональных данных“ (далее – Закон).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3828" w:leader="none"/>
          <w:tab w:val="left" w:pos="6521" w:leader="none"/>
        </w:tabs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Настоящая Политика разъясняет пользователям информационного ресурса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(наименование информационного ресурса)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(далее – интернет-сайт), собственником (владельцем) которого является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(наименование оператора),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как, для каких целей и на каком правовом основании их персональные данные собираются, используются или иным образом обрабатываются.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1.2. Для 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елей настоящей Политики под файлами cookie понимаются текстовые файлы, сохраняемые в интернет-браузере пользовательского устройства (компьютер, мобильный телефон и т.д.) при посещении интернет-сайтов для отражения и (или) запоминания действий пользователя.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Иные термины используются в настоящей Политике в значениях, определенных Законом.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2. Категории обрабатываемых файлов cookie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Выделяют следующие категории файлов cookie: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– в зависимости от назначения: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необходимые;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целевые (рекламные, аналитические, статистические);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– в зависимости от срока хранения: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постоянные;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сеансовые.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1.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26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0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 На интернет-сайте обрабатываются только необходимые файлы cookie для: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89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корректного функционирования интернет-сайта;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использования специальных возможностей для пользователей с ограниченными возможностями.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Часть файлов cookie хранится в течение текущего сеанса и удаляется после закрытия браузера. Срок хранения остальных файлов cookie ограничен 1 годом с момента первого посещения сайта.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2.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27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15"/>
        <w:gridCol w:w="3830"/>
        <w:gridCol w:w="3283"/>
        <w:tblGridChange w:id="1">
          <w:tblGrid>
            <w:gridCol w:w="2515"/>
            <w:gridCol w:w="3830"/>
            <w:gridCol w:w="3283"/>
          </w:tblGrid>
        </w:tblGridChange>
      </w:tblGrid>
      <w:tr>
        <w:tblPrEx/>
        <w:trPr>
          <w:cantSplit w:val="false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2. На интернет-сайте обрабатываются следующие категории файлов cookie: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Категория файлов cookie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Цель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Срок хранения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43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необходимые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корректное функционирование интернет-сайта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в течение сеанса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43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 год с момента первого посещения сайта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80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использование специальных возможностей для пользователей с ограниченными возможностями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в течение сеанса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/>
          <w:trHeight w:val="80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76" w:lineRule="auto"/>
              <w:shd w:val="clear" w:color="auto" w:fill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 год с момента первого посещения сайта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целевые (аналитические, статистические)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сбор и последующая обработка аналитической и статистической информации в обобщенном виде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полгода с момента получения согласия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целевые (рекламные)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предоставление персонализированных маркетинговых и рекламных предложений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1 месяц с момента получения согласия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3. Правовые основания обработки файлов cookie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1.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28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2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3. Необходимые файлы cookie используются для обеспечения полноценного и корректного функционирования интернет-сайта и обрабатываются независимо от предоставления пользователем согласия.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2.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29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3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3.1. Необходимые файлы cookie используются для обеспечения полноценного и корректного функционирования интернет-сайта и обрабатываются независимо от предоставления пользователем согласия.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3.2. Целевые файлы cookie обрабатываются на основании согласия на обработку персональных данных.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При первом посещении интернет-сайта пользователю во всплывающем окне предлагается дать согласие на использование файлов cookie либо отказаться от их использования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superscript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3.3. Пользователь может изменить настройки использования файлов cookie, в том числе отозвать ранее предоставленное согласие на их обработку, посредством нажатия кнопки ”Настройка файлов cookie“ в нижней части главной страницы интернет-сайта.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4. Трансграничная передача файлов cookie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1.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30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4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4. 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(Наименование оператора)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не осуществляет трансграничную передачу файлов cookie.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2.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31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5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709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701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4.1. 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(Наименование оператора)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при использовании сторонних целевых сервисов для обработки файлов cookie осуществляет трансграничную передачу файлов cookie третьим лицам, указанным в приложении к настоящей Политике.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4.2. Трансграничная передача персональных данных, содержащихся в файлах cookie, осуществляется в государства, на территории которых обеспечивается надлежащий уровень защиты прав субъектов персональных данных.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Пример 3.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732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  <w:tblGridChange w:id="6">
          <w:tblGrid>
            <w:gridCol w:w="962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701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4.1. 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(Наименование оператора)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при использовании сторонних целевых сервисов для обработки файлов cookie осуществляет трансграничную передачу файлов cookie третьим лицам, указанным в приложении к настоящей Политике.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596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4.2. Трансгр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аничная передача персональных данных, содержащихся в файлах cookie, осуществляется как в государства, на территории которых обеспечивается надлежащий уровень защиты прав субъектов персональных данных, так и в государства без надлежащего уровня обеспечения.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center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5. Права субъектов персональных данных</w:t>
        <w:br/>
        <w:t xml:space="preserve">и механизм их реализации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6663" w:leader="none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5. Перечень прав субъектов персональных данных, а также порядок их реализации определен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 соответствующем разделе Политики в отношении обработки персональных данных (наименование оператора), с которой можно ознакомиться (указывается способ обеспечения доступа к Политике, избранный оператором) по адресу (путь к Политике).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6. Отключение файлов cookie в настройках браузера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16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6.1. Большинство браузеров изначально настроены на прием файлов cookie. Пользователь может удалить ранее сохране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нные файлы сookie, выбрав соответствующую опцию в истории браузера. Кроме того, некоторые браузеры позволяют посещать сайты в режиме ”инкогнито“, чтобы ограничить хранимый на компьютере объем информации и автоматически удалять некоторые типы файлов cookie.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6.2. Пользователь также может отключить использование файлов cookie путем изменения настроек своего браузера. Подробнее с параметрами управления файлами cookie можно ознакомиться на официальных интернет-сайтах браузеров: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hyperlink r:id="rId15" w:tooltip="https://support.mozilla.org/ru/kb/udalenie-kukov-dlya-udaleniya-informacii-kotoruyu-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  <pic:nvPr/>
                        </pic:nvPicPr>
                        <pic:blipFill>
                          <a:blip r:embed="rId14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30.05pt;height:30.00pt;mso-wrap-distance-left:0.00pt;mso-wrap-distance-top:0.00pt;mso-wrap-distance-right:0.00pt;mso-wrap-distance-bottom:0.00pt;">
                  <v:path textboxrect="0,0,0,0"/>
                  <v:imagedata r:id="rId14" o:title=""/>
                </v:shape>
              </w:pict>
            </mc:Fallback>
          </mc:AlternateConten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hyperlink r:id="rId17" w:tooltip="https://support.google.com/chrome/answer/95647?hl=ru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/>
                          <pic:nvPr/>
                        </pic:nvPicPr>
                        <pic:blipFill>
                          <a:blip r:embed="rId16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width:30.05pt;height:30.00pt;mso-wrap-distance-left:0.00pt;mso-wrap-distance-top:0.00pt;mso-wrap-distance-right:0.00pt;mso-wrap-distance-bottom:0.00pt;">
                  <v:path textboxrect="0,0,0,0"/>
                  <v:imagedata r:id="rId16" o:title=""/>
                </v:shape>
              </w:pict>
            </mc:Fallback>
          </mc:AlternateConten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hyperlink r:id="rId19" w:tooltip="https://support.apple.com/ru-ru/guide/safari/sfri11471/mac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  <pic:nvPr/>
                        </pic:nvPicPr>
                        <pic:blipFill>
                          <a:blip r:embed="rId18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width:30.05pt;height:30.00pt;mso-wrap-distance-left:0.00pt;mso-wrap-distance-top:0.00pt;mso-wrap-distance-right:0.00pt;mso-wrap-distance-bottom:0.00pt;">
                  <v:path textboxrect="0,0,0,0"/>
                  <v:imagedata r:id="rId18" o:title=""/>
                </v:shape>
              </w:pict>
            </mc:Fallback>
          </mc:AlternateConten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hyperlink r:id="rId21" w:tooltip="https://help.opera.com/ru/latest/web-preferences/#%D0%A3%D0%BF%D1%80%D0%B0%D0%B2%D0%BB%D0%B5%D0%BD%D0%B8%D0%B5-%D1%84%D0%B0%D0%B9%D0%BB%D0%B0%D0%BC%D0%B8-cookie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  <pic:nvPr/>
                        </pic:nvPicPr>
                        <pic:blipFill>
                          <a:blip r:embed="rId20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width:30.05pt;height:30.00pt;mso-wrap-distance-left:0.00pt;mso-wrap-distance-top:0.00pt;mso-wrap-distance-right:0.00pt;mso-wrap-distance-bottom:0.00pt;">
                  <v:path textboxrect="0,0,0,0"/>
                  <v:imagedata r:id="rId20" o:title=""/>
                </v:shape>
              </w:pict>
            </mc:Fallback>
          </mc:AlternateConten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hyperlink r:id="rId23" w:tooltip="https://support.microsoft.com/ru-ru/microsoft-edge/%20%D1%83%D0%B4%D0%B0%D0%BB%D0%B5%D0%BD%D0%B8%D0%B5-%D1%84%D0%B0%D0%B9%D0%BB%D0%BE%D0%B2-cookie-%D0%B2-microsoft-edge-63947406-40ac-c3b8-57b9-2a946a29ae09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/>
                          <pic:nvPr/>
                        </pic:nvPicPr>
                        <pic:blipFill>
                          <a:blip r:embed="rId22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width:30.05pt;height:30.00pt;mso-wrap-distance-left:0.00pt;mso-wrap-distance-top:0.00pt;mso-wrap-distance-right:0.00pt;mso-wrap-distance-bottom:0.00pt;">
                  <v:path textboxrect="0,0,0,0"/>
                  <v:imagedata r:id="rId22" o:title=""/>
                </v:shape>
              </w:pict>
            </mc:Fallback>
          </mc:AlternateConten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hyperlink r:id="rId25" w:tooltip="https://support.microsoft.com/ru-ru/windows/%D1%83%D0%B4%D0%B0%D0%BB%D0%B5%D0%BD%D0%B8%D0%B5-%D1%84%D0%B0%D0%B9%D0%BB%D0%BE%D0%B2-cookie-%D0%B8-%D1%83%D0%BF%D1%80%D0%B0%D0%B2%D0%BB%D0%B5%D0%BD%D0%B8%D0%B5-%D0%B8%D0%BC%D0%B8-168dab11-0753-043d-7c16-ede5947fc64d" w:history="1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val="clear" w:color="auto" w:fill="auto"/>
            <w:vertAlign w:val="baseline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381635" cy="3810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  <pic:nvPr/>
                        </pic:nvPicPr>
                        <pic:blipFill>
                          <a:blip r:embed="rId24"/>
                          <a:srcRect l="0" t="0" r="0" b="0"/>
                          <a:stretch/>
                        </pic:blipFill>
                        <pic:spPr bwMode="auto">
                          <a:xfrm>
                            <a:off x="0" y="0"/>
                            <a:ext cx="38163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width:30.05pt;height:30.00pt;mso-wrap-distance-left:0.00pt;mso-wrap-distance-top:0.00pt;mso-wrap-distance-right:0.00pt;mso-wrap-distance-bottom:0.00pt;">
                  <v:path textboxrect="0,0,0,0"/>
                  <v:imagedata r:id="rId24" o:title=""/>
                </v:shape>
              </w:pict>
            </mc:Fallback>
          </mc:AlternateConten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Обозначенный раздел обязателен в случае обработки оператором целевых файлов cookie. При обработке оператором только необходимых технических файлов cookie он не подлежит включению в Политику.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5812" w:right="0" w:firstLine="0"/>
        <w:jc w:val="left"/>
        <w:keepLines w:val="0"/>
        <w:keepNext w:val="0"/>
        <w:pageBreakBefore w:val="0"/>
        <w:spacing w:before="0" w:after="120" w:line="254" w:lineRule="auto"/>
        <w:shd w:val="clear" w:color="auto" w:fill="auto"/>
        <w:widowControl/>
        <w:tabs>
          <w:tab w:val="left" w:pos="672" w:leader="none"/>
        </w:tabs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Приложение</w:t>
        <w:br/>
        <w:t xml:space="preserve">к Политике в отношении</w:t>
        <w:br/>
        <w:t xml:space="preserve">обработки файлов cookie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righ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Перечень третьих лиц, привлекаемых к обработке файлов cookie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ООО ”Яндекс“.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Адрес: ул. Льва Толстого, д. 16, г. Москва, Российская Федерация, 119021.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Google, Inc.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Адрес: 1600 Amphitheatre Parkway Mountain View, California 94043, USA.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ООО ”Майндбокс“.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Адрес: ул. Правды, д. 26, г. Москва, Российская Федерация, 125124.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Подобное приложение является необходимой частью Политики при осуществлении оператором трансграничной передачи персональных данных.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4" w:right="567" w:bottom="993" w:left="1701" w:header="708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Georgia">
    <w:panose1 w:val="02040502050405020303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 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ращаем внимание, что противоречит принципу прозрачности обработки персональных данных использование ”темных паттернов“ (выделение (цветом, формой, размером и т.д.) кнопки ”дать согласие“, использование более двух уведомлений при получении согласия и т.д.).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820" w:right="0" w:firstLine="0"/>
      <w:jc w:val="left"/>
      <w:keepLines w:val="0"/>
      <w:keepNext w:val="0"/>
      <w:pageBreakBefore w:val="0"/>
      <w:spacing w:before="0" w:after="0" w:line="254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  <w:rtl w:val="0"/>
      </w:rPr>
      <w:t xml:space="preserve">Приложение 3</w:t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4820" w:right="0" w:firstLine="0"/>
      <w:jc w:val="left"/>
      <w:keepLines w:val="0"/>
      <w:keepNext w:val="0"/>
      <w:pageBreakBefore w:val="0"/>
      <w:spacing w:before="0" w:after="0" w:line="254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  <w:rtl w:val="0"/>
      </w:rPr>
      <w:t xml:space="preserve">к Разъяснениям по составлению документов,</w:t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4820" w:right="0" w:firstLine="0"/>
      <w:jc w:val="left"/>
      <w:keepLines w:val="0"/>
      <w:keepNext w:val="0"/>
      <w:pageBreakBefore w:val="0"/>
      <w:spacing w:before="0" w:after="0" w:line="254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  <w:rtl w:val="0"/>
      </w:rPr>
      <w:t xml:space="preserve">определяющих политику оператора </w:t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4820" w:right="0" w:firstLine="0"/>
      <w:jc w:val="left"/>
      <w:keepLines w:val="0"/>
      <w:keepNext w:val="0"/>
      <w:pageBreakBefore w:val="0"/>
      <w:spacing w:before="0" w:after="0" w:line="254" w:lineRule="auto"/>
      <w:shd w:val="clear" w:color="auto" w:fill="auto"/>
      <w:widowControl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  <w:rtl w:val="0"/>
      </w:rPr>
      <w:t xml:space="preserve">(уполномоченного лица) в отношении </w:t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4820" w:right="0" w:firstLine="0"/>
      <w:jc w:val="left"/>
      <w:keepLines w:val="0"/>
      <w:keepNext w:val="0"/>
      <w:pageBreakBefore w:val="0"/>
      <w:spacing w:before="0" w:after="0" w:line="254" w:lineRule="auto"/>
      <w:shd w:val="clear" w:color="auto" w:fill="auto"/>
      <w:widowControl/>
      <w:tabs>
        <w:tab w:val="left" w:pos="3828" w:leader="none"/>
        <w:tab w:val="left" w:pos="6521" w:leader="none"/>
      </w:tabs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  <w:rtl w:val="0"/>
      </w:rPr>
      <w:t xml:space="preserve">обработки персональных данных</w:t>
    </w: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71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71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72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72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17"/>
    <w:next w:val="7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17"/>
    <w:next w:val="7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17"/>
    <w:next w:val="7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17"/>
    <w:uiPriority w:val="34"/>
    <w:qFormat/>
    <w:pPr>
      <w:contextualSpacing/>
      <w:ind w:left="720"/>
    </w:p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724"/>
    <w:uiPriority w:val="10"/>
    <w:rPr>
      <w:sz w:val="48"/>
      <w:szCs w:val="48"/>
    </w:rPr>
  </w:style>
  <w:style w:type="character" w:styleId="38">
    <w:name w:val="Subtitle Char"/>
    <w:basedOn w:val="12"/>
    <w:link w:val="725"/>
    <w:uiPriority w:val="11"/>
    <w:rPr>
      <w:sz w:val="24"/>
      <w:szCs w:val="24"/>
    </w:rPr>
  </w:style>
  <w:style w:type="paragraph" w:styleId="39">
    <w:name w:val="Quote"/>
    <w:basedOn w:val="717"/>
    <w:next w:val="7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7"/>
    <w:next w:val="7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7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717"/>
    <w:next w:val="7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7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7"/>
    <w:next w:val="717"/>
    <w:uiPriority w:val="99"/>
    <w:unhideWhenUsed/>
    <w:pPr>
      <w:spacing w:after="0" w:afterAutospacing="0"/>
    </w:pPr>
  </w:style>
  <w:style w:type="table" w:styleId="716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17" w:default="1">
    <w:name w:val="Normal"/>
  </w:style>
  <w:style w:type="paragraph" w:styleId="718">
    <w:name w:val="Heading 1"/>
    <w:basedOn w:val="717"/>
    <w:next w:val="717"/>
    <w:pPr>
      <w:keepLines/>
      <w:keepNext/>
      <w:pageBreakBefore w:val="0"/>
      <w:spacing w:before="480" w:after="120"/>
    </w:pPr>
    <w:rPr>
      <w:b/>
      <w:bCs/>
      <w:sz w:val="48"/>
      <w:szCs w:val="48"/>
    </w:rPr>
  </w:style>
  <w:style w:type="paragraph" w:styleId="719">
    <w:name w:val="Heading 2"/>
    <w:basedOn w:val="717"/>
    <w:next w:val="717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720">
    <w:name w:val="Heading 3"/>
    <w:basedOn w:val="717"/>
    <w:next w:val="717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721">
    <w:name w:val="Heading 4"/>
    <w:basedOn w:val="717"/>
    <w:next w:val="717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722">
    <w:name w:val="Heading 5"/>
    <w:basedOn w:val="717"/>
    <w:next w:val="717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723">
    <w:name w:val="Heading 6"/>
    <w:basedOn w:val="717"/>
    <w:next w:val="717"/>
    <w:pPr>
      <w:keepLines/>
      <w:keepNext/>
      <w:pageBreakBefore w:val="0"/>
      <w:spacing w:before="200" w:after="40"/>
    </w:pPr>
    <w:rPr>
      <w:b/>
      <w:bCs/>
      <w:sz w:val="20"/>
      <w:szCs w:val="20"/>
    </w:rPr>
  </w:style>
  <w:style w:type="paragraph" w:styleId="724">
    <w:name w:val="Title"/>
    <w:basedOn w:val="717"/>
    <w:next w:val="717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paragraph" w:styleId="725">
    <w:name w:val="Subtitle"/>
    <w:basedOn w:val="717"/>
    <w:next w:val="717"/>
    <w:pPr>
      <w:keepLines/>
      <w:keepNext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726">
    <w:name w:val="StGen0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StGen1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StGen2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StGen3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StGen4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StGen5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StGen6"/>
    <w:basedOn w:val="71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493" w:default="1">
    <w:name w:val="Default Paragraph Font"/>
    <w:uiPriority w:val="1"/>
    <w:semiHidden/>
    <w:unhideWhenUsed/>
  </w:style>
  <w:style w:type="numbering" w:styleId="149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Relationship Id="rId15" Type="http://schemas.openxmlformats.org/officeDocument/2006/relationships/hyperlink" Target="https://support.mozilla.org/ru/kb/udalenie-kukov-dlya-udaleniya-informacii-kotoruyu-" TargetMode="External"/><Relationship Id="rId16" Type="http://schemas.openxmlformats.org/officeDocument/2006/relationships/image" Target="media/image2.png"/><Relationship Id="rId17" Type="http://schemas.openxmlformats.org/officeDocument/2006/relationships/hyperlink" Target="https://support.google.com/chrome/answer/95647?hl=ru" TargetMode="External"/><Relationship Id="rId18" Type="http://schemas.openxmlformats.org/officeDocument/2006/relationships/image" Target="media/image3.png"/><Relationship Id="rId19" Type="http://schemas.openxmlformats.org/officeDocument/2006/relationships/hyperlink" Target="https://support.apple.com/ru-ru/guide/safari/sfri11471/mac" TargetMode="External"/><Relationship Id="rId20" Type="http://schemas.openxmlformats.org/officeDocument/2006/relationships/image" Target="media/image4.png"/><Relationship Id="rId21" Type="http://schemas.openxmlformats.org/officeDocument/2006/relationships/hyperlink" Target="https://help.opera.com/ru/latest/web-preferences/#%D0%A3%D0%BF%D1%80%D0%B0%D0%B2%D0%BB%D0%B5%D0%BD%D0%B8%D0%B5-%D1%84%D0%B0%D0%B9%D0%BB%D0%B0%D0%BC%D0%B8-cookie" TargetMode="External"/><Relationship Id="rId22" Type="http://schemas.openxmlformats.org/officeDocument/2006/relationships/image" Target="media/image5.png"/><Relationship Id="rId23" Type="http://schemas.openxmlformats.org/officeDocument/2006/relationships/hyperlink" Target="https://support.microsoft.com/ru-ru/microsoft-edge/%20%D1%83%D0%B4%D0%B0%D0%BB%D0%B5%D0%BD%D0%B8%D0%B5-%D1%84%D0%B0%D0%B9%D0%BB%D0%BE%D0%B2-cookie-%D0%B2-microsoft-edge-63947406-40ac-c3b8-57b9-2a946a29ae09" TargetMode="External"/><Relationship Id="rId24" Type="http://schemas.openxmlformats.org/officeDocument/2006/relationships/image" Target="media/image6.png"/><Relationship Id="rId25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